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C0" w:rsidRPr="00083EFA" w:rsidRDefault="00AF6AC0" w:rsidP="00AF6AC0">
      <w:pPr>
        <w:pStyle w:val="Bezmezer"/>
        <w:jc w:val="both"/>
      </w:pPr>
      <w:r w:rsidRPr="00083EFA">
        <w:t xml:space="preserve">Příloha č. 2 - Smlouva o zajištění služby – závazné obchodní podmínky – část </w:t>
      </w:r>
      <w:r w:rsidR="001E1643" w:rsidRPr="00083EFA">
        <w:t>B</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plány i Evropou – I</w:t>
      </w:r>
      <w:r w:rsidR="004A5886">
        <w:rPr>
          <w:b/>
          <w:bCs/>
          <w:sz w:val="28"/>
          <w:szCs w:val="28"/>
        </w:rPr>
        <w:t>I</w:t>
      </w:r>
      <w:r w:rsidRPr="00083EFA">
        <w:rPr>
          <w:b/>
          <w:bCs/>
          <w:sz w:val="28"/>
          <w:szCs w:val="28"/>
        </w:rPr>
        <w:t>. etapa – část B“</w:t>
      </w:r>
    </w:p>
    <w:p w:rsidR="00083EFA" w:rsidRDefault="00083EFA" w:rsidP="00083EFA">
      <w:pPr>
        <w:rPr>
          <w:bCs/>
        </w:rPr>
      </w:pPr>
    </w:p>
    <w:p w:rsidR="00083EFA" w:rsidRPr="00083EFA" w:rsidRDefault="00083EFA" w:rsidP="00083EFA">
      <w:pPr>
        <w:rPr>
          <w:bCs/>
          <w:color w:val="FF0000"/>
        </w:rPr>
      </w:pPr>
      <w:r w:rsidRPr="00E27BD5">
        <w:rPr>
          <w:bCs/>
          <w:color w:val="000000" w:themeColor="text1"/>
        </w:rPr>
        <w:t>Registrační číslo projektu:</w:t>
      </w:r>
      <w:r w:rsidR="00E27BD5">
        <w:rPr>
          <w:bCs/>
          <w:color w:val="FF0000"/>
        </w:rPr>
        <w:t xml:space="preserve"> </w:t>
      </w:r>
      <w:r w:rsidR="00E27BD5"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655587" w:rsidP="00655587">
      <w:pPr>
        <w:spacing w:after="120" w:line="276" w:lineRule="auto"/>
        <w:jc w:val="center"/>
        <w:rPr>
          <w:b/>
        </w:rPr>
      </w:pPr>
      <w:r w:rsidRPr="00AF6AC0">
        <w:rPr>
          <w:b/>
        </w:rPr>
        <w:t>I. SMLUVNÍ STRANY</w:t>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 xml:space="preserve">566 01 Vysoké Mýto - Vysoké Mýto-Město, nám. </w:t>
      </w:r>
      <w:proofErr w:type="spellStart"/>
      <w:r w:rsidRPr="00AF6AC0">
        <w:t>Vaňorného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34010B">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9149F0"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Default="00655587" w:rsidP="00421596">
      <w:pPr>
        <w:spacing w:after="120" w:line="276" w:lineRule="auto"/>
        <w:jc w:val="center"/>
      </w:pPr>
      <w:r w:rsidRPr="00AF6AC0">
        <w:t>uzavřeli níže uvedeného dne, měsíce a roku tuto smlouvu:</w:t>
      </w:r>
    </w:p>
    <w:p w:rsidR="00421596" w:rsidRPr="00CD7531" w:rsidRDefault="00421596" w:rsidP="00421596">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DF1381">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„S jazyky napříč tematickými plány i Evropou – I</w:t>
      </w:r>
      <w:r w:rsidR="004A5886">
        <w:rPr>
          <w:b/>
          <w:bCs/>
        </w:rPr>
        <w:t>I</w:t>
      </w:r>
      <w:r w:rsidR="008A033A" w:rsidRPr="00EF62C1">
        <w:rPr>
          <w:b/>
          <w:bCs/>
        </w:rPr>
        <w:t>. etapa“</w:t>
      </w:r>
      <w:r w:rsidR="008A033A">
        <w:rPr>
          <w:b/>
          <w:bCs/>
        </w:rPr>
        <w:t xml:space="preserve"> </w:t>
      </w:r>
      <w:r w:rsidR="00E211D2" w:rsidRPr="00CD7531">
        <w:t xml:space="preserve"> </w:t>
      </w:r>
      <w:r w:rsidR="000F04BD">
        <w:t xml:space="preserve">- </w:t>
      </w:r>
      <w:r w:rsidR="000F04BD" w:rsidRPr="000F04BD">
        <w:rPr>
          <w:b/>
        </w:rPr>
        <w:t>část B</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891E43"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425663">
        <w:rPr>
          <w:b/>
        </w:rPr>
        <w:t>jazykového kurzu</w:t>
      </w:r>
      <w:r w:rsidR="000F04BD" w:rsidRPr="009A36CD">
        <w:rPr>
          <w:b/>
        </w:rPr>
        <w:t xml:space="preserve"> pro 1 pedagoga</w:t>
      </w:r>
      <w:r w:rsidR="000F04BD" w:rsidRPr="000F04BD">
        <w:t xml:space="preserve"> </w:t>
      </w:r>
      <w:r w:rsidR="007203E9" w:rsidRPr="009A36CD">
        <w:rPr>
          <w:b/>
        </w:rPr>
        <w:t xml:space="preserve">ve </w:t>
      </w:r>
      <w:r w:rsidR="004A5886">
        <w:rPr>
          <w:b/>
        </w:rPr>
        <w:t>Španělsku</w:t>
      </w:r>
      <w:r w:rsidR="00F91A7A" w:rsidRPr="000F04BD">
        <w:t>.</w:t>
      </w:r>
      <w:r w:rsidR="008C4005" w:rsidRPr="000F04BD">
        <w:t xml:space="preserve"> </w:t>
      </w:r>
      <w:r w:rsidR="00B63D7A" w:rsidRPr="000F04BD">
        <w:t>Poskytovatel se touto smlouvou zavazuje</w:t>
      </w:r>
      <w:r w:rsidR="00EA53B1">
        <w:t xml:space="preserve"> zajistit pro objednatele</w:t>
      </w:r>
      <w:r w:rsidR="00A07300">
        <w:t xml:space="preserve"> </w:t>
      </w:r>
      <w:r>
        <w:t>pobyt</w:t>
      </w:r>
      <w:r w:rsidR="00B63D7A" w:rsidRPr="000F04BD">
        <w:t xml:space="preserve">, </w:t>
      </w:r>
      <w:r w:rsidR="00EA53B1">
        <w:t xml:space="preserve">jazykový </w:t>
      </w:r>
      <w:r w:rsidR="00B63D7A" w:rsidRPr="000F04BD">
        <w:t>výuk</w:t>
      </w:r>
      <w:r w:rsidR="00A07300">
        <w:t xml:space="preserve">ový kurz, ubytování, </w:t>
      </w:r>
      <w:r w:rsidR="009234C7">
        <w:t xml:space="preserve">stravování, </w:t>
      </w:r>
      <w:r w:rsidR="00B63D7A" w:rsidRPr="000F04BD">
        <w:t>dopravu</w:t>
      </w:r>
      <w:r>
        <w:t>, pojištění</w:t>
      </w:r>
      <w:r w:rsidR="00B63D7A" w:rsidRPr="000F04BD">
        <w:t xml:space="preserve"> </w:t>
      </w:r>
      <w:r>
        <w:t>pedagoga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E5208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72205"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B</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Default="00D72205" w:rsidP="00E3205B">
      <w:pPr>
        <w:jc w:val="both"/>
        <w:rPr>
          <w:b/>
          <w:color w:val="000000" w:themeColor="text1"/>
        </w:rPr>
      </w:pPr>
      <w:r>
        <w:rPr>
          <w:color w:val="000000"/>
        </w:rPr>
        <w:t>Část B</w:t>
      </w:r>
      <w:r w:rsidR="00E3205B" w:rsidRPr="00E3205B">
        <w:rPr>
          <w:color w:val="000000"/>
        </w:rPr>
        <w:t xml:space="preserve"> </w:t>
      </w:r>
      <w:r w:rsidR="00191948">
        <w:rPr>
          <w:color w:val="000000"/>
        </w:rPr>
        <w:t>–</w:t>
      </w:r>
      <w:r w:rsidR="00E3205B" w:rsidRPr="00E3205B">
        <w:rPr>
          <w:color w:val="000000"/>
        </w:rPr>
        <w:t xml:space="preserve"> </w:t>
      </w:r>
      <w:r w:rsidR="004A5886">
        <w:rPr>
          <w:b/>
          <w:color w:val="000000"/>
        </w:rPr>
        <w:t>Španělsko</w:t>
      </w:r>
      <w:r w:rsidR="00191948">
        <w:rPr>
          <w:b/>
          <w:color w:val="000000"/>
        </w:rPr>
        <w:t xml:space="preserve">, </w:t>
      </w:r>
      <w:r w:rsidR="00191948" w:rsidRPr="00191948">
        <w:rPr>
          <w:color w:val="000000"/>
        </w:rPr>
        <w:t>místo pobytu:</w:t>
      </w:r>
      <w:r w:rsidR="00191948">
        <w:rPr>
          <w:b/>
          <w:color w:val="000000"/>
        </w:rPr>
        <w:t xml:space="preserve"> </w:t>
      </w:r>
      <w:r w:rsidR="004A5886">
        <w:rPr>
          <w:b/>
          <w:color w:val="000000" w:themeColor="text1"/>
        </w:rPr>
        <w:t>Málaga</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DF1381" w:rsidRDefault="00E647DE" w:rsidP="00DF1381">
      <w:pPr>
        <w:shd w:val="clear" w:color="auto" w:fill="FFFFFF"/>
        <w:ind w:right="29"/>
        <w:jc w:val="both"/>
      </w:pPr>
      <w:r w:rsidRPr="00AC3CC7">
        <w:t xml:space="preserve">2. </w:t>
      </w:r>
      <w:r w:rsidR="00DF1381">
        <w:t xml:space="preserve">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w:t>
      </w:r>
      <w:bookmarkStart w:id="0" w:name="_GoBack"/>
      <w:bookmarkEnd w:id="0"/>
    </w:p>
    <w:p w:rsidR="00DE061A" w:rsidRDefault="00DE061A" w:rsidP="00DF1381">
      <w:pPr>
        <w:shd w:val="clear" w:color="auto" w:fill="FFFFFF"/>
        <w:ind w:right="29"/>
        <w:jc w:val="both"/>
      </w:pPr>
    </w:p>
    <w:p w:rsidR="00E647DE" w:rsidRDefault="00CA111A" w:rsidP="00DF1381">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AC2063" w:rsidRDefault="002B7AC5" w:rsidP="00655587">
      <w:pPr>
        <w:spacing w:after="120"/>
        <w:jc w:val="both"/>
      </w:pPr>
      <w:r w:rsidRPr="00AC2063">
        <w:t>c) název a registrační číslo projektu</w:t>
      </w:r>
    </w:p>
    <w:p w:rsidR="002B7AC5" w:rsidRDefault="002B7AC5" w:rsidP="00655587">
      <w:pPr>
        <w:spacing w:after="120"/>
        <w:jc w:val="both"/>
      </w:pPr>
      <w:r>
        <w:t>d) předmět plnění a jeho přesnou specifikaci</w:t>
      </w:r>
    </w:p>
    <w:p w:rsidR="00FD42B5" w:rsidRPr="00030301" w:rsidRDefault="00FD42B5" w:rsidP="00655587">
      <w:pPr>
        <w:spacing w:after="120"/>
        <w:jc w:val="both"/>
      </w:pPr>
      <w:r w:rsidRPr="00030301">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Pr="003E1F4B" w:rsidRDefault="004B36C5" w:rsidP="00376563">
      <w:pPr>
        <w:spacing w:after="120"/>
        <w:jc w:val="both"/>
      </w:pPr>
      <w:r>
        <w:t xml:space="preserve">3. </w:t>
      </w:r>
      <w:r w:rsidR="00376563" w:rsidRPr="003E1F4B">
        <w:t>Ustanovením o povinnosti uhradit smluvní pokutu není dotčeno právo na náhradu škody.</w:t>
      </w:r>
    </w:p>
    <w:p w:rsidR="00655587" w:rsidRDefault="00655587" w:rsidP="00655587">
      <w:pPr>
        <w:spacing w:after="120"/>
        <w:jc w:val="center"/>
        <w:rPr>
          <w:b/>
          <w:bCs/>
        </w:rPr>
      </w:pPr>
    </w:p>
    <w:p w:rsidR="00030301" w:rsidRPr="003E1F4B" w:rsidRDefault="00030301" w:rsidP="00655587">
      <w:pPr>
        <w:spacing w:after="120"/>
        <w:jc w:val="center"/>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055F87" w:rsidRDefault="00055F87" w:rsidP="00655587">
      <w:pPr>
        <w:spacing w:after="120"/>
        <w:jc w:val="center"/>
        <w:rPr>
          <w:b/>
          <w:bCs/>
        </w:rPr>
      </w:pPr>
    </w:p>
    <w:p w:rsidR="00B25907" w:rsidRDefault="00B25907" w:rsidP="00655587">
      <w:pPr>
        <w:spacing w:after="120"/>
        <w:jc w:val="center"/>
        <w:rPr>
          <w:b/>
          <w:bCs/>
        </w:rPr>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lastRenderedPageBreak/>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rsidR="00030301">
        <w:t xml:space="preserve">provedení kontroly všech </w:t>
      </w:r>
      <w:r w:rsidRPr="008437C9">
        <w:t>dokladů vztahu</w:t>
      </w:r>
      <w:r>
        <w:t>jících se k činnostem,</w:t>
      </w:r>
    </w:p>
    <w:p w:rsidR="00713F4F" w:rsidRDefault="00713F4F" w:rsidP="00713F4F">
      <w:pPr>
        <w:spacing w:after="60"/>
        <w:ind w:left="426" w:hanging="426"/>
        <w:jc w:val="both"/>
      </w:pPr>
      <w:r>
        <w:t xml:space="preserve">které realizuje v rámci </w:t>
      </w:r>
      <w:r w:rsidR="000B1EDC" w:rsidRPr="008437C9">
        <w:t xml:space="preserve">předmětu plnění, umožnit průběžné ověřování provádění </w:t>
      </w:r>
      <w:r>
        <w:t xml:space="preserve"> </w:t>
      </w:r>
      <w:proofErr w:type="gramStart"/>
      <w:r w:rsidR="000B1EDC" w:rsidRPr="008437C9">
        <w:t>činn</w:t>
      </w:r>
      <w:r>
        <w:t>ostí, k nímž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476CC1" w:rsidRPr="00476CC1">
        <w:t xml:space="preserve"> </w:t>
      </w:r>
      <w:r w:rsidR="00476CC1">
        <w:t xml:space="preserve">ve znění pozdějších předpisů </w:t>
      </w:r>
      <w:r>
        <w:t>a pře</w:t>
      </w:r>
      <w:r w:rsidR="00E72089">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lastRenderedPageBreak/>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Default="00557581" w:rsidP="00C077E9">
      <w:pPr>
        <w:spacing w:after="120"/>
        <w:jc w:val="both"/>
      </w:pPr>
      <w:r>
        <w:t>Příloha č. 1 Spec</w:t>
      </w:r>
      <w:r w:rsidR="00230562">
        <w:t xml:space="preserve">ifikace </w:t>
      </w:r>
      <w:r w:rsidR="00230562" w:rsidRPr="00C91DAC">
        <w:t xml:space="preserve">předmětu plnění </w:t>
      </w:r>
      <w:r w:rsidR="00230562">
        <w:t>– část B</w:t>
      </w:r>
    </w:p>
    <w:p w:rsidR="00C4357E" w:rsidRPr="003E1F4B" w:rsidRDefault="00C4357E" w:rsidP="00C077E9">
      <w:pPr>
        <w:spacing w:after="120"/>
        <w:jc w:val="both"/>
      </w:pPr>
      <w:r>
        <w:t>Příloha č.</w:t>
      </w:r>
      <w:r w:rsidR="00230562">
        <w:t xml:space="preserve"> 2 – Krycí list nabídky – část B</w:t>
      </w:r>
    </w:p>
    <w:p w:rsidR="00655587" w:rsidRPr="003E1F4B" w:rsidRDefault="00655587" w:rsidP="00655587">
      <w:pPr>
        <w:spacing w:after="120"/>
      </w:pPr>
      <w:r w:rsidRPr="000B1EDC">
        <w:t xml:space="preserve">V </w:t>
      </w:r>
      <w:r w:rsidR="00E211D2" w:rsidRPr="000B1EDC">
        <w:t>………….</w:t>
      </w:r>
      <w:r w:rsidR="00476CC1">
        <w:t xml:space="preserve"> </w:t>
      </w:r>
      <w:proofErr w:type="gramStart"/>
      <w:r w:rsidR="00476CC1">
        <w:t>dne</w:t>
      </w:r>
      <w:proofErr w:type="gramEnd"/>
      <w:r w:rsidR="00476CC1">
        <w:t>…................</w:t>
      </w:r>
      <w:r w:rsidRPr="003E1F4B">
        <w:tab/>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r w:rsidR="000B1EDC" w:rsidRPr="003E1F4B">
        <w:tab/>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CD71FD">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DF8" w:rsidRDefault="00C35DF8" w:rsidP="00DE2C99">
      <w:r>
        <w:separator/>
      </w:r>
    </w:p>
  </w:endnote>
  <w:endnote w:type="continuationSeparator" w:id="0">
    <w:p w:rsidR="00C35DF8" w:rsidRDefault="00C35DF8"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DF8" w:rsidRDefault="00C35DF8" w:rsidP="00DE2C99">
      <w:r>
        <w:separator/>
      </w:r>
    </w:p>
  </w:footnote>
  <w:footnote w:type="continuationSeparator" w:id="0">
    <w:p w:rsidR="00C35DF8" w:rsidRDefault="00C35DF8"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C5" w:rsidRPr="00DF60BD" w:rsidRDefault="004F42C5" w:rsidP="004F42C5">
    <w:pPr>
      <w:pStyle w:val="Zhlav"/>
      <w:rPr>
        <w:color w:val="FF0000"/>
      </w:rPr>
    </w:pPr>
    <w:r>
      <w:rPr>
        <w:color w:val="FF0000"/>
      </w:rPr>
      <w:t xml:space="preserve">     </w:t>
    </w:r>
  </w:p>
  <w:p w:rsidR="00DA50C3" w:rsidRPr="00880197" w:rsidRDefault="00BF4164" w:rsidP="00282A99">
    <w:pPr>
      <w:spacing w:after="120"/>
      <w:rPr>
        <w:color w:val="FF0000"/>
      </w:rPr>
    </w:pPr>
  </w:p>
  <w:p w:rsidR="00DA50C3" w:rsidRDefault="00BF4164"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F" w:rsidRDefault="00CD71FD">
    <w:pPr>
      <w:pStyle w:val="Zhlav"/>
    </w:pPr>
    <w:r w:rsidRPr="00CD71FD">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BF4164"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655587"/>
    <w:rsid w:val="00004BC3"/>
    <w:rsid w:val="00005286"/>
    <w:rsid w:val="00012D57"/>
    <w:rsid w:val="00021288"/>
    <w:rsid w:val="00021DBC"/>
    <w:rsid w:val="00025667"/>
    <w:rsid w:val="00030301"/>
    <w:rsid w:val="00055C9C"/>
    <w:rsid w:val="00055F87"/>
    <w:rsid w:val="0007726E"/>
    <w:rsid w:val="00081141"/>
    <w:rsid w:val="00083EFA"/>
    <w:rsid w:val="000877B9"/>
    <w:rsid w:val="000903BD"/>
    <w:rsid w:val="000A0F57"/>
    <w:rsid w:val="000A149A"/>
    <w:rsid w:val="000B1EDC"/>
    <w:rsid w:val="000B2A3E"/>
    <w:rsid w:val="000C494D"/>
    <w:rsid w:val="000E1F58"/>
    <w:rsid w:val="000F04BD"/>
    <w:rsid w:val="001146F3"/>
    <w:rsid w:val="00117BA8"/>
    <w:rsid w:val="0012054E"/>
    <w:rsid w:val="0013271C"/>
    <w:rsid w:val="00165D9D"/>
    <w:rsid w:val="00171B9B"/>
    <w:rsid w:val="001807AF"/>
    <w:rsid w:val="00180920"/>
    <w:rsid w:val="00191948"/>
    <w:rsid w:val="001979E5"/>
    <w:rsid w:val="001A3420"/>
    <w:rsid w:val="001C2BB8"/>
    <w:rsid w:val="001C3484"/>
    <w:rsid w:val="001C4E94"/>
    <w:rsid w:val="001C6FEA"/>
    <w:rsid w:val="001E1643"/>
    <w:rsid w:val="001F5BEC"/>
    <w:rsid w:val="00214E43"/>
    <w:rsid w:val="00215D9E"/>
    <w:rsid w:val="002204E7"/>
    <w:rsid w:val="00230562"/>
    <w:rsid w:val="002442B4"/>
    <w:rsid w:val="002501E0"/>
    <w:rsid w:val="00275707"/>
    <w:rsid w:val="002A6242"/>
    <w:rsid w:val="002B07C6"/>
    <w:rsid w:val="002B24BF"/>
    <w:rsid w:val="002B7AC5"/>
    <w:rsid w:val="002D6BE8"/>
    <w:rsid w:val="00304D62"/>
    <w:rsid w:val="003068EB"/>
    <w:rsid w:val="00317CA5"/>
    <w:rsid w:val="00320B58"/>
    <w:rsid w:val="0034010B"/>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06B3"/>
    <w:rsid w:val="00421596"/>
    <w:rsid w:val="00423A50"/>
    <w:rsid w:val="00425663"/>
    <w:rsid w:val="00431A13"/>
    <w:rsid w:val="00434BC8"/>
    <w:rsid w:val="004358E3"/>
    <w:rsid w:val="00435EDD"/>
    <w:rsid w:val="004639E4"/>
    <w:rsid w:val="00470D46"/>
    <w:rsid w:val="00476CC1"/>
    <w:rsid w:val="004A5886"/>
    <w:rsid w:val="004A6293"/>
    <w:rsid w:val="004B36C5"/>
    <w:rsid w:val="004B574D"/>
    <w:rsid w:val="004B733F"/>
    <w:rsid w:val="004C316C"/>
    <w:rsid w:val="004C67EA"/>
    <w:rsid w:val="004C6A72"/>
    <w:rsid w:val="004C7241"/>
    <w:rsid w:val="004C7437"/>
    <w:rsid w:val="004E10F7"/>
    <w:rsid w:val="004F42C5"/>
    <w:rsid w:val="004F5972"/>
    <w:rsid w:val="0051359B"/>
    <w:rsid w:val="00523F40"/>
    <w:rsid w:val="00524F6F"/>
    <w:rsid w:val="0054209A"/>
    <w:rsid w:val="0055351F"/>
    <w:rsid w:val="00557581"/>
    <w:rsid w:val="00580755"/>
    <w:rsid w:val="005A5573"/>
    <w:rsid w:val="005C144B"/>
    <w:rsid w:val="005C1BF2"/>
    <w:rsid w:val="005C1D98"/>
    <w:rsid w:val="005D263A"/>
    <w:rsid w:val="005D40B8"/>
    <w:rsid w:val="005D5CBA"/>
    <w:rsid w:val="005F1290"/>
    <w:rsid w:val="005F3C4C"/>
    <w:rsid w:val="006100FF"/>
    <w:rsid w:val="00632493"/>
    <w:rsid w:val="00635280"/>
    <w:rsid w:val="00635DAB"/>
    <w:rsid w:val="006422D6"/>
    <w:rsid w:val="00655587"/>
    <w:rsid w:val="00656C54"/>
    <w:rsid w:val="00663A20"/>
    <w:rsid w:val="006A6322"/>
    <w:rsid w:val="006B1D35"/>
    <w:rsid w:val="006D7836"/>
    <w:rsid w:val="006F2361"/>
    <w:rsid w:val="006F4212"/>
    <w:rsid w:val="00700FBD"/>
    <w:rsid w:val="007111C4"/>
    <w:rsid w:val="007125F6"/>
    <w:rsid w:val="00713F4F"/>
    <w:rsid w:val="00714EA3"/>
    <w:rsid w:val="00716003"/>
    <w:rsid w:val="007203E9"/>
    <w:rsid w:val="00733FC7"/>
    <w:rsid w:val="00737397"/>
    <w:rsid w:val="00741B93"/>
    <w:rsid w:val="00761D74"/>
    <w:rsid w:val="0076212E"/>
    <w:rsid w:val="007636DA"/>
    <w:rsid w:val="0077674C"/>
    <w:rsid w:val="00784C3C"/>
    <w:rsid w:val="00786504"/>
    <w:rsid w:val="007A7F5D"/>
    <w:rsid w:val="007B5D80"/>
    <w:rsid w:val="007D7519"/>
    <w:rsid w:val="007E2846"/>
    <w:rsid w:val="007E785E"/>
    <w:rsid w:val="008634A2"/>
    <w:rsid w:val="00873AFA"/>
    <w:rsid w:val="00880197"/>
    <w:rsid w:val="00891CFB"/>
    <w:rsid w:val="00891E43"/>
    <w:rsid w:val="008966A6"/>
    <w:rsid w:val="008A033A"/>
    <w:rsid w:val="008C4005"/>
    <w:rsid w:val="00910F9A"/>
    <w:rsid w:val="009149F0"/>
    <w:rsid w:val="009234C7"/>
    <w:rsid w:val="00924760"/>
    <w:rsid w:val="00931B69"/>
    <w:rsid w:val="00931F02"/>
    <w:rsid w:val="00952DFF"/>
    <w:rsid w:val="00961E04"/>
    <w:rsid w:val="00974567"/>
    <w:rsid w:val="009A36CD"/>
    <w:rsid w:val="009B39BD"/>
    <w:rsid w:val="009C0119"/>
    <w:rsid w:val="009D48BB"/>
    <w:rsid w:val="009E5377"/>
    <w:rsid w:val="009E7A47"/>
    <w:rsid w:val="00A0027D"/>
    <w:rsid w:val="00A068F2"/>
    <w:rsid w:val="00A07300"/>
    <w:rsid w:val="00A1188E"/>
    <w:rsid w:val="00A30B34"/>
    <w:rsid w:val="00A51C6A"/>
    <w:rsid w:val="00A61FE9"/>
    <w:rsid w:val="00A73E0F"/>
    <w:rsid w:val="00A76FFA"/>
    <w:rsid w:val="00A90281"/>
    <w:rsid w:val="00A95355"/>
    <w:rsid w:val="00AA29F8"/>
    <w:rsid w:val="00AA6686"/>
    <w:rsid w:val="00AB1130"/>
    <w:rsid w:val="00AC2063"/>
    <w:rsid w:val="00AC3CC7"/>
    <w:rsid w:val="00AF0891"/>
    <w:rsid w:val="00AF13B7"/>
    <w:rsid w:val="00AF65C9"/>
    <w:rsid w:val="00AF6AC0"/>
    <w:rsid w:val="00B25907"/>
    <w:rsid w:val="00B274DB"/>
    <w:rsid w:val="00B27524"/>
    <w:rsid w:val="00B402DB"/>
    <w:rsid w:val="00B4437E"/>
    <w:rsid w:val="00B56752"/>
    <w:rsid w:val="00B63D7A"/>
    <w:rsid w:val="00B650CF"/>
    <w:rsid w:val="00BC2C89"/>
    <w:rsid w:val="00BD6B59"/>
    <w:rsid w:val="00BE272D"/>
    <w:rsid w:val="00BF4164"/>
    <w:rsid w:val="00C036FA"/>
    <w:rsid w:val="00C077E9"/>
    <w:rsid w:val="00C22920"/>
    <w:rsid w:val="00C27FCC"/>
    <w:rsid w:val="00C35DF8"/>
    <w:rsid w:val="00C4357E"/>
    <w:rsid w:val="00C5018E"/>
    <w:rsid w:val="00C5097E"/>
    <w:rsid w:val="00C7786D"/>
    <w:rsid w:val="00C815EB"/>
    <w:rsid w:val="00C91DAC"/>
    <w:rsid w:val="00CA111A"/>
    <w:rsid w:val="00CA1C01"/>
    <w:rsid w:val="00CA5753"/>
    <w:rsid w:val="00CC4809"/>
    <w:rsid w:val="00CD3078"/>
    <w:rsid w:val="00CD71FD"/>
    <w:rsid w:val="00CD7531"/>
    <w:rsid w:val="00CF4CE4"/>
    <w:rsid w:val="00CF5C82"/>
    <w:rsid w:val="00D01E24"/>
    <w:rsid w:val="00D50182"/>
    <w:rsid w:val="00D6461E"/>
    <w:rsid w:val="00D65A98"/>
    <w:rsid w:val="00D72205"/>
    <w:rsid w:val="00DE061A"/>
    <w:rsid w:val="00DE2126"/>
    <w:rsid w:val="00DE298D"/>
    <w:rsid w:val="00DE2C99"/>
    <w:rsid w:val="00DF1381"/>
    <w:rsid w:val="00E15E8F"/>
    <w:rsid w:val="00E211D2"/>
    <w:rsid w:val="00E27BD5"/>
    <w:rsid w:val="00E3205B"/>
    <w:rsid w:val="00E52086"/>
    <w:rsid w:val="00E647DE"/>
    <w:rsid w:val="00E72089"/>
    <w:rsid w:val="00E83307"/>
    <w:rsid w:val="00E96EF4"/>
    <w:rsid w:val="00EA086C"/>
    <w:rsid w:val="00EA1BC9"/>
    <w:rsid w:val="00EA53B1"/>
    <w:rsid w:val="00EB5E23"/>
    <w:rsid w:val="00ED4307"/>
    <w:rsid w:val="00ED7026"/>
    <w:rsid w:val="00EE0812"/>
    <w:rsid w:val="00EF1E3D"/>
    <w:rsid w:val="00F034CA"/>
    <w:rsid w:val="00F07FAC"/>
    <w:rsid w:val="00F204B7"/>
    <w:rsid w:val="00F45556"/>
    <w:rsid w:val="00F5033C"/>
    <w:rsid w:val="00F64FBD"/>
    <w:rsid w:val="00F7378A"/>
    <w:rsid w:val="00F75E79"/>
    <w:rsid w:val="00F82722"/>
    <w:rsid w:val="00F91A7A"/>
    <w:rsid w:val="00F957AF"/>
    <w:rsid w:val="00FA27F8"/>
    <w:rsid w:val="00FA6D1A"/>
    <w:rsid w:val="00FB479E"/>
    <w:rsid w:val="00FD42B5"/>
    <w:rsid w:val="00FF0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r="http://schemas.openxmlformats.org/officeDocument/2006/relationships" xmlns:w="http://schemas.openxmlformats.org/wordprocessingml/2006/main">
  <w:divs>
    <w:div w:id="261188573">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EB4C0-4668-4926-AD67-14B6349E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1978</Words>
  <Characters>11671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Simona Karlíková</cp:lastModifiedBy>
  <cp:revision>17</cp:revision>
  <cp:lastPrinted>2014-10-16T11:11:00Z</cp:lastPrinted>
  <dcterms:created xsi:type="dcterms:W3CDTF">2016-06-03T12:30:00Z</dcterms:created>
  <dcterms:modified xsi:type="dcterms:W3CDTF">2016-06-23T11:15:00Z</dcterms:modified>
</cp:coreProperties>
</file>